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DB33" w14:textId="15268854" w:rsidR="00A07A6D" w:rsidRDefault="003A1613">
      <w:pPr>
        <w:pStyle w:val="BodyText"/>
        <w:ind w:left="297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A1EABE1" wp14:editId="3AB025A2">
            <wp:extent cx="1804416" cy="1499616"/>
            <wp:effectExtent l="0" t="0" r="0" b="0"/>
            <wp:docPr id="1" name="image1.jpe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5DCA9" w14:textId="77777777" w:rsidR="00A07A6D" w:rsidRDefault="00A07A6D">
      <w:pPr>
        <w:pStyle w:val="BodyText"/>
        <w:spacing w:before="5"/>
        <w:rPr>
          <w:rFonts w:ascii="Times New Roman"/>
          <w:sz w:val="28"/>
        </w:rPr>
      </w:pPr>
    </w:p>
    <w:p w14:paraId="637F34E1" w14:textId="77777777" w:rsidR="00A07A6D" w:rsidRDefault="003A1613">
      <w:pPr>
        <w:spacing w:line="670" w:lineRule="exact"/>
        <w:ind w:left="105"/>
        <w:rPr>
          <w:rFonts w:ascii="Calibri Light"/>
          <w:sz w:val="56"/>
        </w:rPr>
      </w:pPr>
      <w:bookmarkStart w:id="0" w:name="NAIW_International_Legacy_Foundation"/>
      <w:bookmarkEnd w:id="0"/>
      <w:r>
        <w:rPr>
          <w:rFonts w:ascii="Calibri Light"/>
          <w:spacing w:val="-3"/>
          <w:sz w:val="56"/>
        </w:rPr>
        <w:t xml:space="preserve">NAIW </w:t>
      </w:r>
      <w:r>
        <w:rPr>
          <w:rFonts w:ascii="Calibri Light"/>
          <w:spacing w:val="-5"/>
          <w:sz w:val="56"/>
        </w:rPr>
        <w:t xml:space="preserve">International Legacy </w:t>
      </w:r>
      <w:r>
        <w:rPr>
          <w:rFonts w:ascii="Calibri Light"/>
          <w:spacing w:val="-6"/>
          <w:sz w:val="56"/>
        </w:rPr>
        <w:t>Foundation</w:t>
      </w:r>
    </w:p>
    <w:p w14:paraId="221C94C0" w14:textId="133BAEEF" w:rsidR="00A07A6D" w:rsidRDefault="003A1613">
      <w:pPr>
        <w:spacing w:before="205"/>
        <w:ind w:left="1404" w:right="1823"/>
        <w:jc w:val="center"/>
        <w:rPr>
          <w:sz w:val="36"/>
        </w:rPr>
      </w:pPr>
      <w:r>
        <w:rPr>
          <w:sz w:val="36"/>
        </w:rPr>
        <w:t>20</w:t>
      </w:r>
      <w:r w:rsidR="00CF5B2B">
        <w:rPr>
          <w:sz w:val="36"/>
        </w:rPr>
        <w:t>24</w:t>
      </w:r>
      <w:r>
        <w:rPr>
          <w:sz w:val="36"/>
        </w:rPr>
        <w:t>-20</w:t>
      </w:r>
      <w:r w:rsidR="002C6346">
        <w:rPr>
          <w:sz w:val="36"/>
        </w:rPr>
        <w:t>27</w:t>
      </w:r>
      <w:r>
        <w:rPr>
          <w:sz w:val="36"/>
        </w:rPr>
        <w:t xml:space="preserve"> Strategic Plan At-A-Glance</w:t>
      </w:r>
    </w:p>
    <w:p w14:paraId="0EBCD208" w14:textId="4C27A80F" w:rsidR="00A07A6D" w:rsidRPr="00AF56CE" w:rsidRDefault="003A1613">
      <w:pPr>
        <w:spacing w:before="59"/>
        <w:ind w:left="231"/>
        <w:rPr>
          <w:b/>
          <w:sz w:val="28"/>
          <w:szCs w:val="32"/>
        </w:rPr>
      </w:pPr>
      <w:r w:rsidRPr="00AF56CE">
        <w:rPr>
          <w:sz w:val="28"/>
          <w:szCs w:val="32"/>
        </w:rPr>
        <w:t xml:space="preserve">Goal 1: </w:t>
      </w:r>
      <w:r w:rsidRPr="00AF56CE">
        <w:rPr>
          <w:b/>
          <w:sz w:val="28"/>
          <w:szCs w:val="32"/>
        </w:rPr>
        <w:t>Raise Money</w:t>
      </w:r>
    </w:p>
    <w:p w14:paraId="7CD2382C" w14:textId="159B5CD5" w:rsidR="00A07A6D" w:rsidRPr="0068199F" w:rsidRDefault="00A07A6D">
      <w:pPr>
        <w:pStyle w:val="BodyText"/>
        <w:rPr>
          <w:b/>
          <w:sz w:val="11"/>
        </w:rPr>
      </w:pPr>
    </w:p>
    <w:p w14:paraId="27C1E3D3" w14:textId="396AA859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before="59"/>
        <w:ind w:left="321"/>
        <w:rPr>
          <w:sz w:val="20"/>
        </w:rPr>
      </w:pPr>
      <w:r w:rsidRPr="0068199F">
        <w:rPr>
          <w:b/>
          <w:sz w:val="20"/>
        </w:rPr>
        <w:t xml:space="preserve">Internal Donations: </w:t>
      </w:r>
      <w:r w:rsidRPr="0068199F">
        <w:rPr>
          <w:sz w:val="20"/>
        </w:rPr>
        <w:t xml:space="preserve">Maintain donations from members at a target goal of </w:t>
      </w:r>
      <w:r w:rsidRPr="0068199F">
        <w:rPr>
          <w:b/>
          <w:sz w:val="20"/>
        </w:rPr>
        <w:t xml:space="preserve">80% </w:t>
      </w:r>
      <w:r w:rsidRPr="0068199F">
        <w:rPr>
          <w:sz w:val="20"/>
        </w:rPr>
        <w:t>of total</w:t>
      </w:r>
      <w:r w:rsidRPr="0068199F">
        <w:rPr>
          <w:spacing w:val="-21"/>
          <w:sz w:val="20"/>
        </w:rPr>
        <w:t xml:space="preserve"> </w:t>
      </w:r>
      <w:r w:rsidR="00AF22DD" w:rsidRPr="0068199F">
        <w:rPr>
          <w:sz w:val="20"/>
        </w:rPr>
        <w:t>donations.</w:t>
      </w:r>
    </w:p>
    <w:p w14:paraId="544DE899" w14:textId="4BC9413D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before="32" w:line="216" w:lineRule="auto"/>
        <w:ind w:right="111" w:hanging="92"/>
        <w:rPr>
          <w:sz w:val="20"/>
        </w:rPr>
      </w:pPr>
      <w:r w:rsidRPr="0068199F">
        <w:rPr>
          <w:b/>
          <w:sz w:val="20"/>
        </w:rPr>
        <w:t xml:space="preserve">External Donations: </w:t>
      </w:r>
      <w:r w:rsidRPr="0068199F">
        <w:rPr>
          <w:sz w:val="20"/>
        </w:rPr>
        <w:t xml:space="preserve">Develop value proposition and solicitation campaign to reach corporate donors at a target goal of </w:t>
      </w:r>
      <w:r w:rsidRPr="0068199F">
        <w:rPr>
          <w:b/>
          <w:sz w:val="20"/>
        </w:rPr>
        <w:t xml:space="preserve">15% </w:t>
      </w:r>
      <w:r w:rsidRPr="0068199F">
        <w:rPr>
          <w:sz w:val="20"/>
        </w:rPr>
        <w:t>of total</w:t>
      </w:r>
      <w:r w:rsidRPr="0068199F">
        <w:rPr>
          <w:spacing w:val="-1"/>
          <w:sz w:val="20"/>
        </w:rPr>
        <w:t xml:space="preserve"> </w:t>
      </w:r>
      <w:r w:rsidR="00AF22DD" w:rsidRPr="0068199F">
        <w:rPr>
          <w:sz w:val="20"/>
        </w:rPr>
        <w:t>donations.</w:t>
      </w:r>
    </w:p>
    <w:p w14:paraId="4BE11258" w14:textId="70539CFE" w:rsidR="00A07A6D" w:rsidRPr="0068199F" w:rsidRDefault="003A1613">
      <w:pPr>
        <w:pStyle w:val="ListParagraph"/>
        <w:numPr>
          <w:ilvl w:val="0"/>
          <w:numId w:val="1"/>
        </w:numPr>
        <w:tabs>
          <w:tab w:val="left" w:pos="322"/>
        </w:tabs>
        <w:spacing w:before="16"/>
        <w:ind w:left="321" w:hanging="102"/>
        <w:rPr>
          <w:sz w:val="20"/>
        </w:rPr>
      </w:pPr>
      <w:r w:rsidRPr="0068199F">
        <w:rPr>
          <w:b/>
          <w:sz w:val="20"/>
        </w:rPr>
        <w:t xml:space="preserve">General Public: </w:t>
      </w:r>
      <w:r w:rsidR="008B5CD4" w:rsidRPr="00AF56CE">
        <w:rPr>
          <w:bCs/>
          <w:sz w:val="20"/>
        </w:rPr>
        <w:t>Develop opportunities to</w:t>
      </w:r>
      <w:r w:rsidR="008B5CD4" w:rsidRPr="0068199F">
        <w:rPr>
          <w:b/>
          <w:sz w:val="20"/>
        </w:rPr>
        <w:t xml:space="preserve"> </w:t>
      </w:r>
      <w:r w:rsidR="008B5CD4" w:rsidRPr="0068199F">
        <w:rPr>
          <w:sz w:val="20"/>
        </w:rPr>
        <w:t>s</w:t>
      </w:r>
      <w:r w:rsidRPr="0068199F">
        <w:rPr>
          <w:sz w:val="20"/>
        </w:rPr>
        <w:t xml:space="preserve">olicit additional donations from </w:t>
      </w:r>
      <w:r w:rsidR="00650B5C" w:rsidRPr="0068199F">
        <w:rPr>
          <w:sz w:val="20"/>
        </w:rPr>
        <w:t xml:space="preserve">insurance affiliates </w:t>
      </w:r>
      <w:r w:rsidRPr="0068199F">
        <w:rPr>
          <w:sz w:val="20"/>
        </w:rPr>
        <w:t xml:space="preserve">at a target of </w:t>
      </w:r>
      <w:r w:rsidRPr="0068199F">
        <w:rPr>
          <w:b/>
          <w:sz w:val="20"/>
        </w:rPr>
        <w:t xml:space="preserve">5% </w:t>
      </w:r>
      <w:r w:rsidRPr="0068199F">
        <w:rPr>
          <w:sz w:val="20"/>
        </w:rPr>
        <w:t>of total</w:t>
      </w:r>
      <w:r w:rsidRPr="0068199F">
        <w:rPr>
          <w:spacing w:val="-25"/>
          <w:sz w:val="20"/>
        </w:rPr>
        <w:t xml:space="preserve"> </w:t>
      </w:r>
      <w:r w:rsidR="00AF22DD" w:rsidRPr="0068199F">
        <w:rPr>
          <w:sz w:val="20"/>
        </w:rPr>
        <w:t>donations.</w:t>
      </w:r>
    </w:p>
    <w:p w14:paraId="14898EDE" w14:textId="61955DCA" w:rsidR="00A07A6D" w:rsidRPr="0068199F" w:rsidRDefault="003A1613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22"/>
        </w:tabs>
        <w:spacing w:before="13"/>
        <w:ind w:left="321" w:hanging="102"/>
        <w:rPr>
          <w:sz w:val="20"/>
        </w:rPr>
      </w:pPr>
      <w:r w:rsidRPr="0068199F">
        <w:rPr>
          <w:b/>
          <w:sz w:val="20"/>
        </w:rPr>
        <w:t xml:space="preserve">Investment Strategy: </w:t>
      </w:r>
      <w:r w:rsidR="0068199F">
        <w:rPr>
          <w:sz w:val="20"/>
        </w:rPr>
        <w:t>Maintain</w:t>
      </w:r>
      <w:r w:rsidRPr="0068199F">
        <w:rPr>
          <w:sz w:val="20"/>
        </w:rPr>
        <w:t xml:space="preserve"> an investment strategy and policy to achieve growth of reserve</w:t>
      </w:r>
      <w:r w:rsidRPr="0068199F">
        <w:rPr>
          <w:spacing w:val="-21"/>
          <w:sz w:val="20"/>
        </w:rPr>
        <w:t xml:space="preserve"> </w:t>
      </w:r>
      <w:r w:rsidR="00AF22DD" w:rsidRPr="0068199F">
        <w:rPr>
          <w:sz w:val="20"/>
        </w:rPr>
        <w:t>funds.</w:t>
      </w:r>
    </w:p>
    <w:p w14:paraId="6C43209D" w14:textId="77777777" w:rsidR="00A07A6D" w:rsidRPr="00AF56CE" w:rsidRDefault="003A1613">
      <w:pPr>
        <w:pStyle w:val="Heading1"/>
        <w:rPr>
          <w:sz w:val="28"/>
          <w:szCs w:val="28"/>
        </w:rPr>
      </w:pPr>
      <w:r w:rsidRPr="00AF56CE">
        <w:rPr>
          <w:b w:val="0"/>
          <w:sz w:val="28"/>
          <w:szCs w:val="28"/>
        </w:rPr>
        <w:t xml:space="preserve">Goal 2: </w:t>
      </w:r>
      <w:r w:rsidRPr="00AF56CE">
        <w:rPr>
          <w:sz w:val="28"/>
          <w:szCs w:val="28"/>
        </w:rPr>
        <w:t>Fund the creation of educational programs as needs are identified</w:t>
      </w:r>
    </w:p>
    <w:p w14:paraId="66472955" w14:textId="77777777" w:rsidR="00A07A6D" w:rsidRPr="0068199F" w:rsidRDefault="00A07A6D">
      <w:pPr>
        <w:pStyle w:val="BodyText"/>
        <w:rPr>
          <w:b/>
          <w:sz w:val="11"/>
        </w:rPr>
      </w:pPr>
    </w:p>
    <w:p w14:paraId="53099D49" w14:textId="4BC39B55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line="216" w:lineRule="auto"/>
        <w:ind w:right="283" w:hanging="92"/>
        <w:rPr>
          <w:sz w:val="20"/>
        </w:rPr>
      </w:pPr>
      <w:r w:rsidRPr="0068199F">
        <w:rPr>
          <w:b/>
          <w:sz w:val="20"/>
        </w:rPr>
        <w:t xml:space="preserve">IAIP Needs Analysis: </w:t>
      </w:r>
      <w:r w:rsidR="006861BB" w:rsidRPr="00AF56CE">
        <w:rPr>
          <w:bCs/>
          <w:sz w:val="20"/>
        </w:rPr>
        <w:t>Continue to</w:t>
      </w:r>
      <w:r w:rsidR="006861BB">
        <w:rPr>
          <w:b/>
          <w:sz w:val="20"/>
        </w:rPr>
        <w:t xml:space="preserve"> </w:t>
      </w:r>
      <w:r w:rsidR="006861BB">
        <w:rPr>
          <w:sz w:val="20"/>
        </w:rPr>
        <w:t>c</w:t>
      </w:r>
      <w:r w:rsidRPr="0068199F">
        <w:rPr>
          <w:sz w:val="20"/>
        </w:rPr>
        <w:t>ollaborate with IAIP to identify where on the association’s roadmap for future educational content the Foundation can</w:t>
      </w:r>
      <w:r w:rsidRPr="0068199F">
        <w:rPr>
          <w:spacing w:val="-4"/>
          <w:sz w:val="20"/>
        </w:rPr>
        <w:t xml:space="preserve"> </w:t>
      </w:r>
      <w:r w:rsidR="00A77593" w:rsidRPr="0068199F">
        <w:rPr>
          <w:sz w:val="20"/>
        </w:rPr>
        <w:t>support.</w:t>
      </w:r>
    </w:p>
    <w:p w14:paraId="32E3D994" w14:textId="2A2ADCF4" w:rsidR="00A07A6D" w:rsidRPr="0068199F" w:rsidRDefault="003A1613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21"/>
        </w:tabs>
        <w:spacing w:before="19"/>
        <w:ind w:left="321"/>
        <w:rPr>
          <w:sz w:val="20"/>
        </w:rPr>
      </w:pPr>
      <w:r w:rsidRPr="0068199F">
        <w:rPr>
          <w:b/>
          <w:sz w:val="20"/>
        </w:rPr>
        <w:t xml:space="preserve">Industry Needs Analysis: </w:t>
      </w:r>
      <w:r w:rsidRPr="0068199F">
        <w:rPr>
          <w:sz w:val="20"/>
        </w:rPr>
        <w:t>Consult with others in the industry to establish an educational</w:t>
      </w:r>
      <w:r w:rsidRPr="0068199F">
        <w:rPr>
          <w:spacing w:val="-21"/>
          <w:sz w:val="20"/>
        </w:rPr>
        <w:t xml:space="preserve"> </w:t>
      </w:r>
      <w:r w:rsidR="00A77593" w:rsidRPr="0068199F">
        <w:rPr>
          <w:sz w:val="20"/>
        </w:rPr>
        <w:t>roadmap.</w:t>
      </w:r>
    </w:p>
    <w:p w14:paraId="3C38C109" w14:textId="77777777" w:rsidR="00A07A6D" w:rsidRPr="00AF56CE" w:rsidRDefault="003A1613">
      <w:pPr>
        <w:pStyle w:val="Heading1"/>
        <w:rPr>
          <w:sz w:val="28"/>
          <w:szCs w:val="28"/>
        </w:rPr>
      </w:pPr>
      <w:r w:rsidRPr="00AF56CE">
        <w:rPr>
          <w:b w:val="0"/>
          <w:sz w:val="28"/>
          <w:szCs w:val="28"/>
        </w:rPr>
        <w:t xml:space="preserve">Goal 3: </w:t>
      </w:r>
      <w:r w:rsidRPr="00AF56CE">
        <w:rPr>
          <w:sz w:val="28"/>
          <w:szCs w:val="28"/>
        </w:rPr>
        <w:t>Provide opportunities for insurance professionals to receive education</w:t>
      </w:r>
    </w:p>
    <w:p w14:paraId="68523D39" w14:textId="77777777" w:rsidR="00A07A6D" w:rsidRPr="0068199F" w:rsidRDefault="00A07A6D">
      <w:pPr>
        <w:pStyle w:val="BodyText"/>
        <w:spacing w:before="1"/>
        <w:rPr>
          <w:b/>
          <w:sz w:val="11"/>
        </w:rPr>
      </w:pPr>
    </w:p>
    <w:p w14:paraId="3603B46F" w14:textId="2142D079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line="216" w:lineRule="auto"/>
        <w:ind w:right="251" w:hanging="92"/>
        <w:rPr>
          <w:sz w:val="20"/>
        </w:rPr>
      </w:pPr>
      <w:r w:rsidRPr="0068199F">
        <w:rPr>
          <w:b/>
          <w:sz w:val="20"/>
        </w:rPr>
        <w:t>Scholarships:</w:t>
      </w:r>
      <w:r w:rsidRPr="0068199F">
        <w:rPr>
          <w:b/>
          <w:spacing w:val="-5"/>
          <w:sz w:val="20"/>
        </w:rPr>
        <w:t xml:space="preserve"> </w:t>
      </w:r>
      <w:r w:rsidRPr="0068199F">
        <w:rPr>
          <w:sz w:val="20"/>
        </w:rPr>
        <w:t>Continue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to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award</w:t>
      </w:r>
      <w:r w:rsidRPr="0068199F">
        <w:rPr>
          <w:spacing w:val="-4"/>
          <w:sz w:val="20"/>
        </w:rPr>
        <w:t xml:space="preserve"> </w:t>
      </w:r>
      <w:r w:rsidRPr="0068199F">
        <w:rPr>
          <w:sz w:val="20"/>
        </w:rPr>
        <w:t>scholarships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supporting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opportunities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for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IAIP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members</w:t>
      </w:r>
      <w:r w:rsidRPr="0068199F">
        <w:rPr>
          <w:spacing w:val="-1"/>
          <w:sz w:val="20"/>
        </w:rPr>
        <w:t xml:space="preserve"> </w:t>
      </w:r>
      <w:r w:rsidRPr="0068199F">
        <w:rPr>
          <w:sz w:val="20"/>
        </w:rPr>
        <w:t>to</w:t>
      </w:r>
      <w:r w:rsidRPr="0068199F">
        <w:rPr>
          <w:spacing w:val="-4"/>
          <w:sz w:val="20"/>
        </w:rPr>
        <w:t xml:space="preserve"> </w:t>
      </w:r>
      <w:r w:rsidRPr="0068199F">
        <w:rPr>
          <w:sz w:val="20"/>
        </w:rPr>
        <w:t>enhance their insurance knowledge, obtain designations or insurance related degrees or to attend IAIP conventions or conferences</w:t>
      </w:r>
      <w:r w:rsidR="00732713">
        <w:rPr>
          <w:sz w:val="20"/>
        </w:rPr>
        <w:t xml:space="preserve">. Look for ways to </w:t>
      </w:r>
      <w:r w:rsidR="00A77593">
        <w:rPr>
          <w:sz w:val="20"/>
        </w:rPr>
        <w:t>strength</w:t>
      </w:r>
      <w:r w:rsidR="00732713">
        <w:rPr>
          <w:sz w:val="20"/>
        </w:rPr>
        <w:t xml:space="preserve"> IAIP’s relationship with insurance </w:t>
      </w:r>
      <w:r w:rsidR="00A77593">
        <w:rPr>
          <w:sz w:val="20"/>
        </w:rPr>
        <w:t>related</w:t>
      </w:r>
      <w:r w:rsidR="00732713">
        <w:rPr>
          <w:sz w:val="20"/>
        </w:rPr>
        <w:t xml:space="preserve"> associations </w:t>
      </w:r>
      <w:r w:rsidR="00A77593">
        <w:rPr>
          <w:sz w:val="20"/>
        </w:rPr>
        <w:t>by offering</w:t>
      </w:r>
      <w:r w:rsidR="00732713">
        <w:rPr>
          <w:sz w:val="20"/>
        </w:rPr>
        <w:t xml:space="preserve"> IAIP educational bundle </w:t>
      </w:r>
      <w:r w:rsidR="00A77593">
        <w:rPr>
          <w:sz w:val="20"/>
        </w:rPr>
        <w:t xml:space="preserve">scholarships. </w:t>
      </w:r>
    </w:p>
    <w:p w14:paraId="472DE269" w14:textId="6FB867B7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before="37" w:line="216" w:lineRule="auto"/>
        <w:ind w:right="134" w:hanging="92"/>
        <w:rPr>
          <w:sz w:val="20"/>
        </w:rPr>
      </w:pPr>
      <w:r w:rsidRPr="0068199F">
        <w:rPr>
          <w:b/>
          <w:sz w:val="20"/>
        </w:rPr>
        <w:t xml:space="preserve">Grants: </w:t>
      </w:r>
      <w:r w:rsidRPr="0068199F">
        <w:rPr>
          <w:sz w:val="20"/>
        </w:rPr>
        <w:t>Continue to award grants to local associations, councils and regions supporting education- related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programs</w:t>
      </w:r>
      <w:r w:rsidRPr="0068199F">
        <w:rPr>
          <w:spacing w:val="-6"/>
          <w:sz w:val="20"/>
        </w:rPr>
        <w:t xml:space="preserve"> </w:t>
      </w:r>
      <w:r w:rsidRPr="0068199F">
        <w:rPr>
          <w:sz w:val="20"/>
        </w:rPr>
        <w:t>and</w:t>
      </w:r>
      <w:r w:rsidRPr="0068199F">
        <w:rPr>
          <w:spacing w:val="-4"/>
          <w:sz w:val="20"/>
        </w:rPr>
        <w:t xml:space="preserve"> </w:t>
      </w:r>
      <w:r w:rsidRPr="0068199F">
        <w:rPr>
          <w:sz w:val="20"/>
        </w:rPr>
        <w:t>projects</w:t>
      </w:r>
      <w:r w:rsidRPr="0068199F">
        <w:rPr>
          <w:spacing w:val="-4"/>
          <w:sz w:val="20"/>
        </w:rPr>
        <w:t xml:space="preserve"> </w:t>
      </w:r>
      <w:r w:rsidRPr="0068199F">
        <w:rPr>
          <w:sz w:val="20"/>
        </w:rPr>
        <w:t>benefiting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the</w:t>
      </w:r>
      <w:r w:rsidRPr="0068199F">
        <w:rPr>
          <w:spacing w:val="-6"/>
          <w:sz w:val="20"/>
        </w:rPr>
        <w:t xml:space="preserve"> </w:t>
      </w:r>
      <w:r w:rsidRPr="0068199F">
        <w:rPr>
          <w:sz w:val="20"/>
        </w:rPr>
        <w:t>insurance</w:t>
      </w:r>
      <w:r w:rsidRPr="0068199F">
        <w:rPr>
          <w:spacing w:val="-6"/>
          <w:sz w:val="20"/>
        </w:rPr>
        <w:t xml:space="preserve"> </w:t>
      </w:r>
      <w:r w:rsidRPr="0068199F">
        <w:rPr>
          <w:sz w:val="20"/>
        </w:rPr>
        <w:t>industry</w:t>
      </w:r>
      <w:r w:rsidRPr="0068199F">
        <w:rPr>
          <w:spacing w:val="-4"/>
          <w:sz w:val="20"/>
        </w:rPr>
        <w:t xml:space="preserve"> </w:t>
      </w:r>
      <w:r w:rsidRPr="0068199F">
        <w:rPr>
          <w:sz w:val="20"/>
        </w:rPr>
        <w:t>and</w:t>
      </w:r>
      <w:r w:rsidRPr="0068199F">
        <w:rPr>
          <w:spacing w:val="-7"/>
          <w:sz w:val="20"/>
        </w:rPr>
        <w:t xml:space="preserve"> </w:t>
      </w:r>
      <w:r w:rsidRPr="0068199F">
        <w:rPr>
          <w:sz w:val="20"/>
        </w:rPr>
        <w:t>effectively</w:t>
      </w:r>
      <w:r w:rsidRPr="0068199F">
        <w:rPr>
          <w:spacing w:val="2"/>
          <w:sz w:val="20"/>
        </w:rPr>
        <w:t xml:space="preserve"> </w:t>
      </w:r>
      <w:r w:rsidRPr="0068199F">
        <w:rPr>
          <w:sz w:val="20"/>
        </w:rPr>
        <w:t>educate</w:t>
      </w:r>
      <w:r w:rsidRPr="0068199F">
        <w:rPr>
          <w:spacing w:val="-6"/>
          <w:sz w:val="20"/>
        </w:rPr>
        <w:t xml:space="preserve"> </w:t>
      </w:r>
      <w:r w:rsidRPr="0068199F">
        <w:rPr>
          <w:sz w:val="20"/>
        </w:rPr>
        <w:t>IAIP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members on a peer-to-peer</w:t>
      </w:r>
      <w:r w:rsidRPr="0068199F">
        <w:rPr>
          <w:spacing w:val="5"/>
          <w:sz w:val="20"/>
        </w:rPr>
        <w:t xml:space="preserve"> </w:t>
      </w:r>
      <w:r w:rsidRPr="0068199F">
        <w:rPr>
          <w:sz w:val="20"/>
        </w:rPr>
        <w:t>basis</w:t>
      </w:r>
      <w:r w:rsidR="00A77593">
        <w:rPr>
          <w:sz w:val="20"/>
        </w:rPr>
        <w:t>.</w:t>
      </w:r>
    </w:p>
    <w:p w14:paraId="4653B90D" w14:textId="122EC580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before="38" w:line="213" w:lineRule="auto"/>
        <w:ind w:right="1035" w:hanging="92"/>
        <w:rPr>
          <w:sz w:val="20"/>
        </w:rPr>
      </w:pPr>
      <w:r w:rsidRPr="0068199F">
        <w:rPr>
          <w:b/>
          <w:sz w:val="20"/>
        </w:rPr>
        <w:t xml:space="preserve">Assess Scholarship &amp; Grant Review Process: </w:t>
      </w:r>
      <w:r w:rsidR="00732C25" w:rsidRPr="00AF56CE">
        <w:rPr>
          <w:bCs/>
          <w:sz w:val="20"/>
        </w:rPr>
        <w:t xml:space="preserve">Continue to </w:t>
      </w:r>
      <w:r w:rsidRPr="0068199F">
        <w:rPr>
          <w:sz w:val="20"/>
        </w:rPr>
        <w:t xml:space="preserve">Analyze if the review process with the current composition of the board is </w:t>
      </w:r>
      <w:r w:rsidR="00E0324C">
        <w:rPr>
          <w:sz w:val="20"/>
        </w:rPr>
        <w:t>adequate.</w:t>
      </w:r>
    </w:p>
    <w:p w14:paraId="14EEF893" w14:textId="6B6EC702" w:rsidR="00A07A6D" w:rsidRPr="0068199F" w:rsidRDefault="003A1613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21"/>
        </w:tabs>
        <w:spacing w:before="39" w:line="216" w:lineRule="auto"/>
        <w:ind w:right="245" w:hanging="92"/>
        <w:rPr>
          <w:sz w:val="20"/>
        </w:rPr>
      </w:pPr>
      <w:r w:rsidRPr="0068199F">
        <w:rPr>
          <w:b/>
          <w:sz w:val="20"/>
        </w:rPr>
        <w:t xml:space="preserve">Awarding Scholarships &amp; Grants: </w:t>
      </w:r>
      <w:r w:rsidRPr="0068199F">
        <w:rPr>
          <w:sz w:val="20"/>
        </w:rPr>
        <w:t>In preparation of increased donations via external sources, explore the opportunity to expand awarding grants/scholarships outside of IAIP</w:t>
      </w:r>
      <w:r w:rsidRPr="0068199F">
        <w:rPr>
          <w:spacing w:val="-11"/>
          <w:sz w:val="20"/>
        </w:rPr>
        <w:t xml:space="preserve"> </w:t>
      </w:r>
      <w:r w:rsidRPr="0068199F">
        <w:rPr>
          <w:sz w:val="20"/>
        </w:rPr>
        <w:t>membership</w:t>
      </w:r>
      <w:r w:rsidR="00A77593">
        <w:rPr>
          <w:sz w:val="20"/>
        </w:rPr>
        <w:t>.</w:t>
      </w:r>
    </w:p>
    <w:p w14:paraId="03127410" w14:textId="77777777" w:rsidR="00A07A6D" w:rsidRPr="00AF56CE" w:rsidRDefault="003A1613">
      <w:pPr>
        <w:pStyle w:val="Heading1"/>
        <w:rPr>
          <w:sz w:val="28"/>
          <w:szCs w:val="28"/>
        </w:rPr>
      </w:pPr>
      <w:r w:rsidRPr="00AF56CE">
        <w:rPr>
          <w:b w:val="0"/>
          <w:sz w:val="28"/>
          <w:szCs w:val="28"/>
        </w:rPr>
        <w:t xml:space="preserve">Goal 4: </w:t>
      </w:r>
      <w:r w:rsidRPr="00AF56CE">
        <w:rPr>
          <w:sz w:val="28"/>
          <w:szCs w:val="28"/>
        </w:rPr>
        <w:t>Board Structure and Leadership Composition</w:t>
      </w:r>
    </w:p>
    <w:p w14:paraId="75FB2B14" w14:textId="77777777" w:rsidR="00A07A6D" w:rsidRPr="0068199F" w:rsidRDefault="00A07A6D">
      <w:pPr>
        <w:pStyle w:val="BodyText"/>
        <w:spacing w:before="1"/>
        <w:rPr>
          <w:b/>
          <w:sz w:val="11"/>
        </w:rPr>
      </w:pPr>
    </w:p>
    <w:p w14:paraId="3FB090FC" w14:textId="310BC4D3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line="216" w:lineRule="auto"/>
        <w:ind w:right="333" w:hanging="92"/>
        <w:rPr>
          <w:sz w:val="20"/>
        </w:rPr>
      </w:pPr>
      <w:r w:rsidRPr="0068199F">
        <w:rPr>
          <w:b/>
          <w:sz w:val="20"/>
        </w:rPr>
        <w:t>Board</w:t>
      </w:r>
      <w:r w:rsidRPr="0068199F">
        <w:rPr>
          <w:b/>
          <w:spacing w:val="-6"/>
          <w:sz w:val="20"/>
        </w:rPr>
        <w:t xml:space="preserve"> </w:t>
      </w:r>
      <w:r w:rsidRPr="0068199F">
        <w:rPr>
          <w:b/>
          <w:sz w:val="20"/>
        </w:rPr>
        <w:t>Structure:</w:t>
      </w:r>
      <w:r w:rsidRPr="0068199F">
        <w:rPr>
          <w:b/>
          <w:spacing w:val="-8"/>
          <w:sz w:val="20"/>
        </w:rPr>
        <w:t xml:space="preserve"> </w:t>
      </w:r>
      <w:r w:rsidR="002F01DE" w:rsidRPr="00AF56CE">
        <w:rPr>
          <w:bCs/>
          <w:spacing w:val="-8"/>
          <w:sz w:val="20"/>
        </w:rPr>
        <w:t>Continue to</w:t>
      </w:r>
      <w:r w:rsidR="002F01DE" w:rsidRPr="0068199F">
        <w:rPr>
          <w:b/>
          <w:spacing w:val="-8"/>
          <w:sz w:val="20"/>
        </w:rPr>
        <w:t xml:space="preserve"> </w:t>
      </w:r>
      <w:r w:rsidR="00A653BB" w:rsidRPr="0068199F">
        <w:rPr>
          <w:sz w:val="20"/>
        </w:rPr>
        <w:t>a</w:t>
      </w:r>
      <w:r w:rsidRPr="0068199F">
        <w:rPr>
          <w:sz w:val="20"/>
        </w:rPr>
        <w:t>nalyze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the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board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structure</w:t>
      </w:r>
      <w:r w:rsidRPr="0068199F">
        <w:rPr>
          <w:spacing w:val="-5"/>
          <w:sz w:val="20"/>
        </w:rPr>
        <w:t xml:space="preserve"> </w:t>
      </w:r>
      <w:r w:rsidRPr="0068199F">
        <w:rPr>
          <w:sz w:val="20"/>
        </w:rPr>
        <w:t>and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leadership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>composition</w:t>
      </w:r>
      <w:r w:rsidRPr="0068199F">
        <w:rPr>
          <w:spacing w:val="-1"/>
          <w:sz w:val="20"/>
        </w:rPr>
        <w:t xml:space="preserve"> </w:t>
      </w:r>
      <w:r w:rsidRPr="0068199F">
        <w:rPr>
          <w:sz w:val="20"/>
        </w:rPr>
        <w:t>to</w:t>
      </w:r>
      <w:r w:rsidRPr="0068199F">
        <w:rPr>
          <w:spacing w:val="-4"/>
          <w:sz w:val="20"/>
        </w:rPr>
        <w:t xml:space="preserve"> </w:t>
      </w:r>
      <w:r w:rsidRPr="0068199F">
        <w:rPr>
          <w:sz w:val="20"/>
        </w:rPr>
        <w:t>determine</w:t>
      </w:r>
      <w:r w:rsidRPr="0068199F">
        <w:rPr>
          <w:spacing w:val="-3"/>
          <w:sz w:val="20"/>
        </w:rPr>
        <w:t xml:space="preserve"> </w:t>
      </w:r>
      <w:r w:rsidRPr="0068199F">
        <w:rPr>
          <w:sz w:val="20"/>
        </w:rPr>
        <w:t xml:space="preserve">appropriate </w:t>
      </w:r>
      <w:r w:rsidR="00AF22DD" w:rsidRPr="0068199F">
        <w:rPr>
          <w:sz w:val="20"/>
        </w:rPr>
        <w:t>structure.</w:t>
      </w:r>
    </w:p>
    <w:p w14:paraId="73B6E18B" w14:textId="6E24E510" w:rsidR="00A07A6D" w:rsidRPr="0068199F" w:rsidRDefault="003A1613">
      <w:pPr>
        <w:pStyle w:val="ListParagraph"/>
        <w:numPr>
          <w:ilvl w:val="0"/>
          <w:numId w:val="1"/>
        </w:numPr>
        <w:tabs>
          <w:tab w:val="left" w:pos="321"/>
        </w:tabs>
        <w:spacing w:before="40" w:line="213" w:lineRule="auto"/>
        <w:ind w:right="1322" w:hanging="92"/>
        <w:rPr>
          <w:sz w:val="20"/>
        </w:rPr>
      </w:pPr>
      <w:r w:rsidRPr="0068199F">
        <w:rPr>
          <w:b/>
          <w:sz w:val="20"/>
        </w:rPr>
        <w:t xml:space="preserve">Management &amp; Operations: </w:t>
      </w:r>
      <w:r w:rsidR="00BA44F2" w:rsidRPr="00AF56CE">
        <w:rPr>
          <w:bCs/>
          <w:sz w:val="20"/>
        </w:rPr>
        <w:t>Continue to</w:t>
      </w:r>
      <w:r w:rsidR="00BA44F2">
        <w:rPr>
          <w:b/>
          <w:sz w:val="20"/>
        </w:rPr>
        <w:t xml:space="preserve"> </w:t>
      </w:r>
      <w:r w:rsidRPr="0068199F">
        <w:rPr>
          <w:sz w:val="20"/>
        </w:rPr>
        <w:t>Evaluate management and operations needs to</w:t>
      </w:r>
      <w:r w:rsidRPr="0068199F">
        <w:rPr>
          <w:spacing w:val="-32"/>
          <w:sz w:val="20"/>
        </w:rPr>
        <w:t xml:space="preserve"> </w:t>
      </w:r>
      <w:r w:rsidRPr="0068199F">
        <w:rPr>
          <w:sz w:val="20"/>
        </w:rPr>
        <w:t>determine recommendation for future business operations</w:t>
      </w:r>
      <w:r w:rsidRPr="0068199F">
        <w:rPr>
          <w:spacing w:val="3"/>
          <w:sz w:val="20"/>
        </w:rPr>
        <w:t xml:space="preserve"> </w:t>
      </w:r>
      <w:r w:rsidRPr="0068199F">
        <w:rPr>
          <w:sz w:val="20"/>
        </w:rPr>
        <w:t>structure</w:t>
      </w:r>
      <w:r w:rsidR="0065059C" w:rsidRPr="0068199F">
        <w:rPr>
          <w:sz w:val="20"/>
        </w:rPr>
        <w:t xml:space="preserve">. Review strategic plan annually at July, January and June board meetings. </w:t>
      </w:r>
    </w:p>
    <w:p w14:paraId="75671471" w14:textId="1EE24AAB" w:rsidR="00A653BB" w:rsidRPr="0068199F" w:rsidRDefault="00A653BB">
      <w:pPr>
        <w:pStyle w:val="ListParagraph"/>
        <w:numPr>
          <w:ilvl w:val="0"/>
          <w:numId w:val="1"/>
        </w:numPr>
        <w:tabs>
          <w:tab w:val="left" w:pos="321"/>
        </w:tabs>
        <w:spacing w:before="40" w:line="213" w:lineRule="auto"/>
        <w:ind w:right="1322" w:hanging="92"/>
        <w:rPr>
          <w:sz w:val="20"/>
        </w:rPr>
      </w:pPr>
      <w:r w:rsidRPr="0068199F">
        <w:rPr>
          <w:b/>
          <w:sz w:val="20"/>
        </w:rPr>
        <w:t xml:space="preserve">Succession </w:t>
      </w:r>
      <w:r w:rsidR="0065059C" w:rsidRPr="0068199F">
        <w:rPr>
          <w:b/>
          <w:sz w:val="20"/>
        </w:rPr>
        <w:t>P</w:t>
      </w:r>
      <w:r w:rsidRPr="0068199F">
        <w:rPr>
          <w:b/>
          <w:sz w:val="20"/>
        </w:rPr>
        <w:t>lanning:</w:t>
      </w:r>
      <w:r w:rsidRPr="0068199F">
        <w:rPr>
          <w:sz w:val="20"/>
        </w:rPr>
        <w:t xml:space="preserve"> </w:t>
      </w:r>
      <w:r w:rsidR="00BA44F2">
        <w:rPr>
          <w:sz w:val="20"/>
        </w:rPr>
        <w:t xml:space="preserve">In </w:t>
      </w:r>
      <w:r w:rsidR="00A33265">
        <w:rPr>
          <w:sz w:val="20"/>
        </w:rPr>
        <w:t>collaboration with the Legacy task Force, work to develop a list of potential Foundation chairs.</w:t>
      </w:r>
    </w:p>
    <w:sectPr w:rsidR="00A653BB" w:rsidRPr="0068199F" w:rsidSect="00AF56CE">
      <w:type w:val="continuous"/>
      <w:pgSz w:w="10800" w:h="14400"/>
      <w:pgMar w:top="144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76447"/>
    <w:multiLevelType w:val="hybridMultilevel"/>
    <w:tmpl w:val="6DDABE0C"/>
    <w:lvl w:ilvl="0" w:tplc="5A8C0DEA">
      <w:numFmt w:val="bullet"/>
      <w:lvlText w:val="•"/>
      <w:lvlJc w:val="left"/>
      <w:pPr>
        <w:ind w:left="311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en-US" w:eastAsia="en-US" w:bidi="en-US"/>
      </w:rPr>
    </w:lvl>
    <w:lvl w:ilvl="1" w:tplc="1C043BD4">
      <w:numFmt w:val="bullet"/>
      <w:lvlText w:val="•"/>
      <w:lvlJc w:val="left"/>
      <w:pPr>
        <w:ind w:left="1164" w:hanging="101"/>
      </w:pPr>
      <w:rPr>
        <w:rFonts w:hint="default"/>
        <w:lang w:val="en-US" w:eastAsia="en-US" w:bidi="en-US"/>
      </w:rPr>
    </w:lvl>
    <w:lvl w:ilvl="2" w:tplc="89B208BC">
      <w:numFmt w:val="bullet"/>
      <w:lvlText w:val="•"/>
      <w:lvlJc w:val="left"/>
      <w:pPr>
        <w:ind w:left="2008" w:hanging="101"/>
      </w:pPr>
      <w:rPr>
        <w:rFonts w:hint="default"/>
        <w:lang w:val="en-US" w:eastAsia="en-US" w:bidi="en-US"/>
      </w:rPr>
    </w:lvl>
    <w:lvl w:ilvl="3" w:tplc="5A62EA1E">
      <w:numFmt w:val="bullet"/>
      <w:lvlText w:val="•"/>
      <w:lvlJc w:val="left"/>
      <w:pPr>
        <w:ind w:left="2852" w:hanging="101"/>
      </w:pPr>
      <w:rPr>
        <w:rFonts w:hint="default"/>
        <w:lang w:val="en-US" w:eastAsia="en-US" w:bidi="en-US"/>
      </w:rPr>
    </w:lvl>
    <w:lvl w:ilvl="4" w:tplc="204A076E">
      <w:numFmt w:val="bullet"/>
      <w:lvlText w:val="•"/>
      <w:lvlJc w:val="left"/>
      <w:pPr>
        <w:ind w:left="3696" w:hanging="101"/>
      </w:pPr>
      <w:rPr>
        <w:rFonts w:hint="default"/>
        <w:lang w:val="en-US" w:eastAsia="en-US" w:bidi="en-US"/>
      </w:rPr>
    </w:lvl>
    <w:lvl w:ilvl="5" w:tplc="65ACD080">
      <w:numFmt w:val="bullet"/>
      <w:lvlText w:val="•"/>
      <w:lvlJc w:val="left"/>
      <w:pPr>
        <w:ind w:left="4540" w:hanging="101"/>
      </w:pPr>
      <w:rPr>
        <w:rFonts w:hint="default"/>
        <w:lang w:val="en-US" w:eastAsia="en-US" w:bidi="en-US"/>
      </w:rPr>
    </w:lvl>
    <w:lvl w:ilvl="6" w:tplc="3FB09B9C">
      <w:numFmt w:val="bullet"/>
      <w:lvlText w:val="•"/>
      <w:lvlJc w:val="left"/>
      <w:pPr>
        <w:ind w:left="5384" w:hanging="101"/>
      </w:pPr>
      <w:rPr>
        <w:rFonts w:hint="default"/>
        <w:lang w:val="en-US" w:eastAsia="en-US" w:bidi="en-US"/>
      </w:rPr>
    </w:lvl>
    <w:lvl w:ilvl="7" w:tplc="2C4A5BF4">
      <w:numFmt w:val="bullet"/>
      <w:lvlText w:val="•"/>
      <w:lvlJc w:val="left"/>
      <w:pPr>
        <w:ind w:left="6228" w:hanging="101"/>
      </w:pPr>
      <w:rPr>
        <w:rFonts w:hint="default"/>
        <w:lang w:val="en-US" w:eastAsia="en-US" w:bidi="en-US"/>
      </w:rPr>
    </w:lvl>
    <w:lvl w:ilvl="8" w:tplc="0D8CF4C2">
      <w:numFmt w:val="bullet"/>
      <w:lvlText w:val="•"/>
      <w:lvlJc w:val="left"/>
      <w:pPr>
        <w:ind w:left="7072" w:hanging="101"/>
      </w:pPr>
      <w:rPr>
        <w:rFonts w:hint="default"/>
        <w:lang w:val="en-US" w:eastAsia="en-US" w:bidi="en-US"/>
      </w:rPr>
    </w:lvl>
  </w:abstractNum>
  <w:num w:numId="1" w16cid:durableId="84898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6D"/>
    <w:rsid w:val="00082E50"/>
    <w:rsid w:val="001C27C6"/>
    <w:rsid w:val="002C6346"/>
    <w:rsid w:val="002D0901"/>
    <w:rsid w:val="002F01DE"/>
    <w:rsid w:val="003A1613"/>
    <w:rsid w:val="0046283A"/>
    <w:rsid w:val="00547698"/>
    <w:rsid w:val="00575835"/>
    <w:rsid w:val="005E355E"/>
    <w:rsid w:val="00634486"/>
    <w:rsid w:val="0065059C"/>
    <w:rsid w:val="00650B5C"/>
    <w:rsid w:val="0068199F"/>
    <w:rsid w:val="006861BB"/>
    <w:rsid w:val="00701BD4"/>
    <w:rsid w:val="00732713"/>
    <w:rsid w:val="00732C25"/>
    <w:rsid w:val="008B5CD4"/>
    <w:rsid w:val="008C26C5"/>
    <w:rsid w:val="009B0ACD"/>
    <w:rsid w:val="00A07A6D"/>
    <w:rsid w:val="00A33265"/>
    <w:rsid w:val="00A62237"/>
    <w:rsid w:val="00A653BB"/>
    <w:rsid w:val="00A77593"/>
    <w:rsid w:val="00AF22DD"/>
    <w:rsid w:val="00AF56CE"/>
    <w:rsid w:val="00B15356"/>
    <w:rsid w:val="00B43AEA"/>
    <w:rsid w:val="00BA44F2"/>
    <w:rsid w:val="00CF5B2B"/>
    <w:rsid w:val="00D80CE7"/>
    <w:rsid w:val="00E0324C"/>
    <w:rsid w:val="00E85EA4"/>
    <w:rsid w:val="00F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2271"/>
  <w15:docId w15:val="{69608A6B-FF5F-4534-8EAE-B9F859A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9"/>
      <w:ind w:left="2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8"/>
      <w:ind w:left="311" w:hanging="9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F5B2B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BD9DD0F2754F89642DA774BD1AB0" ma:contentTypeVersion="15" ma:contentTypeDescription="Create a new document." ma:contentTypeScope="" ma:versionID="02dcecb3cd290cffdb868ecad5eb6f57">
  <xsd:schema xmlns:xsd="http://www.w3.org/2001/XMLSchema" xmlns:xs="http://www.w3.org/2001/XMLSchema" xmlns:p="http://schemas.microsoft.com/office/2006/metadata/properties" xmlns:ns2="c4b01b5c-51f1-4129-af4c-6e30dc93eec2" xmlns:ns3="5c7ce364-9edd-4828-ac6d-fd84d8cff2eb" targetNamespace="http://schemas.microsoft.com/office/2006/metadata/properties" ma:root="true" ma:fieldsID="e1d33972e09e0c86e319dc2db6535a62" ns2:_="" ns3:_="">
    <xsd:import namespace="c4b01b5c-51f1-4129-af4c-6e30dc93eec2"/>
    <xsd:import namespace="5c7ce364-9edd-4828-ac6d-fd84d8cff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1b5c-51f1-4129-af4c-6e30dc93e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0d3937-0597-465c-8a63-717e0784e42d}" ma:internalName="TaxCatchAll" ma:showField="CatchAllData" ma:web="c4b01b5c-51f1-4129-af4c-6e30dc93e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e364-9edd-4828-ac6d-fd84d8cff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b45061-b342-496f-a0e0-47925b70d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01b5c-51f1-4129-af4c-6e30dc93eec2" xsi:nil="true"/>
    <lcf76f155ced4ddcb4097134ff3c332f xmlns="5c7ce364-9edd-4828-ac6d-fd84d8cff2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16252-719B-4B83-B157-D51B7D348D5A}"/>
</file>

<file path=customXml/itemProps2.xml><?xml version="1.0" encoding="utf-8"?>
<ds:datastoreItem xmlns:ds="http://schemas.openxmlformats.org/officeDocument/2006/customXml" ds:itemID="{77192916-0AB9-4AAA-89E3-DA7E86DE341F}">
  <ds:schemaRefs>
    <ds:schemaRef ds:uri="http://schemas.microsoft.com/office/2006/metadata/properties"/>
    <ds:schemaRef ds:uri="http://schemas.microsoft.com/office/infopath/2007/PartnerControls"/>
    <ds:schemaRef ds:uri="03a67363-0174-4e84-b0b0-03441103e3b4"/>
    <ds:schemaRef ds:uri="46f5ebfe-9439-4cea-ad1d-14f66b1e3d32"/>
  </ds:schemaRefs>
</ds:datastoreItem>
</file>

<file path=customXml/itemProps3.xml><?xml version="1.0" encoding="utf-8"?>
<ds:datastoreItem xmlns:ds="http://schemas.openxmlformats.org/officeDocument/2006/customXml" ds:itemID="{6C0DF4B1-E1AF-459E-9799-8775B481F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NAIW International Legacy Foundation</dc:title>
  <dc:creator>Beth Chitnis</dc:creator>
  <cp:lastModifiedBy>Geraldine Plott</cp:lastModifiedBy>
  <cp:revision>2</cp:revision>
  <cp:lastPrinted>2024-07-03T17:51:00Z</cp:lastPrinted>
  <dcterms:created xsi:type="dcterms:W3CDTF">2025-01-09T12:18:00Z</dcterms:created>
  <dcterms:modified xsi:type="dcterms:W3CDTF">2025-01-09T12:18:00Z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2023-12-12T00:00:00Z</vt:filetime>
  </property>
  <property fmtid="{D5CDD505-2E9C-101B-9397-08002B2CF9AE}" pid="5" name="ContentTypeId">
    <vt:lpwstr>0x010100BC27BD9DD0F2754F89642DA774BD1AB0</vt:lpwstr>
  </property>
  <property fmtid="{D5CDD505-2E9C-101B-9397-08002B2CF9AE}" pid="6" name="MediaServiceImageTags">
    <vt:lpwstr/>
  </property>
</Properties>
</file>